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93FB" w14:textId="77777777" w:rsidR="00D82448" w:rsidRPr="00E00A68" w:rsidRDefault="00D82448" w:rsidP="00D8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40026353" w14:textId="2EEAC67F" w:rsidR="00D82448" w:rsidRDefault="00D82448" w:rsidP="00D8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A0507" w:rsidRPr="00E0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 жилищного обеспечения детей-сирот и детей, оставшихся без попечения родителей, лиц из их числа</w:t>
      </w:r>
      <w:r w:rsidR="00671DF2" w:rsidRPr="00E0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дети-сироты)</w:t>
      </w:r>
    </w:p>
    <w:p w14:paraId="66CFA477" w14:textId="77777777" w:rsidR="00170974" w:rsidRPr="00E00A68" w:rsidRDefault="00170974" w:rsidP="00D8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2E197" w14:textId="77777777" w:rsidR="00E00A68" w:rsidRPr="00E00A68" w:rsidRDefault="00E00A68" w:rsidP="00E00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начало июня 2022 года численность детей-сирот и лиц из их числа, включенных в список на получение жилого помещения, составляла </w:t>
      </w:r>
      <w:r w:rsidRPr="00E0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289 004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 них, подлежит обеспечению жилыми помещениями (наступило право)</w:t>
      </w:r>
      <w:r w:rsidRPr="00E0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204 841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1F527AA" w14:textId="77777777" w:rsidR="00E00A68" w:rsidRPr="00E00A68" w:rsidRDefault="00E00A68" w:rsidP="00E00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Ежегодный прирост числа детей-сирот, подлежащих обеспечению жилыми помещениями, увеличивается. Так, в 2021 году включено в список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 тысячи 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а исключено из списка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 тысяч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человек. </w:t>
      </w:r>
    </w:p>
    <w:p w14:paraId="34FF5503" w14:textId="77777777" w:rsidR="00E00A68" w:rsidRPr="00E00A68" w:rsidRDefault="00E00A68" w:rsidP="00E00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отметить, что вопрос обеспечения жилыми помещениями детей-сирот, и детей, оставшихся без попечения родителей, а также лиц из их числа (далее – дети-сироты) относится к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расходным обязательствам субъекта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Федерации. </w:t>
      </w:r>
      <w:proofErr w:type="gram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Ежегодное</w:t>
      </w:r>
      <w:proofErr w:type="gramEnd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расходных обязательств субъектам из федерального бюджета (субсидии) составляет </w:t>
      </w:r>
      <w:r w:rsidRPr="00E0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10,0 млрд. рублей.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6D2D08" w14:textId="77777777" w:rsidR="00E00A68" w:rsidRPr="00E00A68" w:rsidRDefault="00E00A68" w:rsidP="00E00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текущем году, с учетом перенесенных неиспользованных остатков 2021 года, на </w:t>
      </w:r>
      <w:proofErr w:type="spell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расходных обязатель</w:t>
      </w:r>
      <w:proofErr w:type="gram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пр</w:t>
      </w:r>
      <w:proofErr w:type="gramEnd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едусмотрено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млрд. 163 млн.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Показатель результативности использования субсидии в 2022 году составил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7 319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детей-сирот.</w:t>
      </w:r>
    </w:p>
    <w:p w14:paraId="661CA80B" w14:textId="77BE9E66" w:rsidR="00584DAC" w:rsidRPr="00170974" w:rsidRDefault="00E00A68" w:rsidP="0017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времени заключены контракты с использованием средств субсидии на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7,3</w:t>
      </w:r>
      <w:r w:rsidRPr="00E00A68">
        <w:rPr>
          <w:rFonts w:ascii="Times New Roman" w:hAnsi="Times New Roman" w:cs="Times New Roman"/>
          <w:sz w:val="28"/>
          <w:szCs w:val="28"/>
        </w:rPr>
        <w:t xml:space="preserve">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млрд. рублей. Участвуют в закупочных процедурах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1,9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млрд. рублей </w:t>
      </w:r>
      <w:proofErr w:type="spell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</w:t>
      </w:r>
      <w:proofErr w:type="spellEnd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средств. Следует отметить, что по состоянию на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июня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почти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млрд. рублей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(949 млн.)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gram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задействованы</w:t>
      </w:r>
      <w:proofErr w:type="gramEnd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аукционных процедурах. </w:t>
      </w:r>
      <w:r w:rsidRPr="00E00A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(Еще раз обращаю ваше внимание, что срок заключения контрактов согласно Соглашениям 1 апреля.)</w:t>
      </w:r>
    </w:p>
    <w:p w14:paraId="4624898F" w14:textId="3B078913" w:rsidR="0022183F" w:rsidRPr="00E00A68" w:rsidRDefault="0022183F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обеспечения жилыми помещениями детей-сирот</w:t>
      </w:r>
      <w:r w:rsidR="00B24390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относится </w:t>
      </w:r>
      <w:r w:rsidR="00671DF2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расходным обязательствам субъекта Российской Федерации</w:t>
      </w:r>
      <w:r w:rsidR="00122378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DF2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22378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федерального бюджета </w:t>
      </w:r>
      <w:proofErr w:type="spell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софинансируется</w:t>
      </w:r>
      <w:proofErr w:type="spellEnd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соответствующее полномочие органа государственной власти субъекта Российской Федерации</w:t>
      </w:r>
      <w:r w:rsidR="00122378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3EA2513" w14:textId="7C8EDDE7" w:rsidR="00122378" w:rsidRPr="00E00A68" w:rsidRDefault="00122378" w:rsidP="00AD43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нормам статьи 8 Федерального закона от 21 декабря 1996 г. </w:t>
      </w:r>
      <w:r w:rsidR="00B24390"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159-ФЗ </w:t>
      </w:r>
      <w:r w:rsidRPr="00E00A68">
        <w:rPr>
          <w:rFonts w:ascii="Times New Roman" w:hAnsi="Times New Roman" w:cs="Times New Roman"/>
          <w:bCs/>
          <w:sz w:val="28"/>
          <w:szCs w:val="28"/>
        </w:rPr>
        <w:t>«О дополнительных гарантиях по социальной поддержке детей-сирот и детей, оставшихся без попечения родителей» установлено, что</w:t>
      </w:r>
      <w:r w:rsidR="00B24390" w:rsidRPr="00E00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DF2" w:rsidRPr="00E00A68">
        <w:rPr>
          <w:rFonts w:ascii="Times New Roman" w:hAnsi="Times New Roman" w:cs="Times New Roman"/>
          <w:bCs/>
          <w:sz w:val="28"/>
          <w:szCs w:val="28"/>
        </w:rPr>
        <w:br/>
      </w:r>
      <w:r w:rsidR="00B24390" w:rsidRPr="00E00A68">
        <w:rPr>
          <w:rFonts w:ascii="Times New Roman" w:hAnsi="Times New Roman" w:cs="Times New Roman"/>
          <w:bCs/>
          <w:sz w:val="28"/>
          <w:szCs w:val="28"/>
        </w:rPr>
        <w:t>д</w:t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етям-сиротам, которые не являются нанимателями жилых помещений </w:t>
      </w:r>
      <w:r w:rsidR="00671DF2"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по договорам социального найма или членами семьи нанимателя жилого помещения по договору социального найма либо собственниками жилых</w:t>
      </w:r>
      <w:proofErr w:type="gramEnd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помещений, а также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</w:t>
      </w:r>
      <w:proofErr w:type="gramEnd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Федерации, однократно предоставляются </w:t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благоустроенные жилые помещения специализированного жилищного фонда по договорам найма специализированных жилых помещений.</w:t>
      </w:r>
    </w:p>
    <w:p w14:paraId="789D47B4" w14:textId="545BE4FE" w:rsidR="00122378" w:rsidRPr="00E00A68" w:rsidRDefault="00122378" w:rsidP="00AD43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Жилые помещения предоставляются </w:t>
      </w:r>
      <w:r w:rsidR="008B1538"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детям-сиротам</w:t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их заявлению </w:t>
      </w:r>
      <w:r w:rsidR="00671DF2"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письменной форме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Российской Федерации, жилые помещения могут быть предоставлены </w:t>
      </w:r>
      <w:r w:rsidR="008B1538"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детям-сиротам</w:t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ранее</w:t>
      </w:r>
      <w:proofErr w:type="gramEnd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чем по достижении ими возраста 18 лет.</w:t>
      </w:r>
    </w:p>
    <w:p w14:paraId="4A6A970A" w14:textId="3CBDDDF1" w:rsidR="008B1538" w:rsidRPr="00E00A68" w:rsidRDefault="008B1538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Кроме того, на уровне регионального законодательства могут устанавливаться дополнительные виды жилищной поддержки детей-сирот.</w:t>
      </w:r>
    </w:p>
    <w:p w14:paraId="5AF84449" w14:textId="08608EC0" w:rsidR="00746ED9" w:rsidRPr="00E00A68" w:rsidRDefault="00746ED9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Постановка и ведения учета детей-</w:t>
      </w:r>
      <w:proofErr w:type="gramStart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сирот, нуждающихся в улучшении жилищных условий осуществляется</w:t>
      </w:r>
      <w:proofErr w:type="gramEnd"/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уполномоченными органами исполнительной власти. Соответствующие сведения заносятся в Единую государственную информационную систему социального обеспечения </w:t>
      </w: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(далее – ЕГИССО).</w:t>
      </w:r>
    </w:p>
    <w:p w14:paraId="0F9B56C9" w14:textId="2C5C735D" w:rsidR="00D060CC" w:rsidRPr="00E00A68" w:rsidRDefault="00D82448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A68">
        <w:rPr>
          <w:rFonts w:ascii="Times New Roman" w:hAnsi="Times New Roman" w:cs="Times New Roman"/>
          <w:bCs/>
          <w:sz w:val="28"/>
          <w:szCs w:val="28"/>
        </w:rPr>
        <w:t>В</w:t>
      </w:r>
      <w:r w:rsidR="00D060CC" w:rsidRPr="00E00A68">
        <w:rPr>
          <w:rFonts w:ascii="Times New Roman" w:hAnsi="Times New Roman" w:cs="Times New Roman"/>
          <w:bCs/>
          <w:sz w:val="28"/>
          <w:szCs w:val="28"/>
        </w:rPr>
        <w:t xml:space="preserve"> Единой государственной информационной системе социального обеспечения имеются сведения</w:t>
      </w:r>
      <w:r w:rsidRPr="00E00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0CC" w:rsidRPr="00E00A68">
        <w:rPr>
          <w:rFonts w:ascii="Times New Roman" w:hAnsi="Times New Roman" w:cs="Times New Roman"/>
          <w:bCs/>
          <w:sz w:val="28"/>
          <w:szCs w:val="28"/>
        </w:rPr>
        <w:t>о 289 756 детях-сиротах, которые в настоящее время состоят на учете</w:t>
      </w:r>
      <w:r w:rsidRPr="00E00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0CC" w:rsidRPr="00E00A68">
        <w:rPr>
          <w:rFonts w:ascii="Times New Roman" w:hAnsi="Times New Roman" w:cs="Times New Roman"/>
          <w:bCs/>
          <w:sz w:val="28"/>
          <w:szCs w:val="28"/>
        </w:rPr>
        <w:t>на получение жилого помещения, из них – 199 736 человек подлежат обеспечению жилыми помещениями, 119 307 детей-сирот от 18 до 23 лет, 80 416 детей-сирот, достигших возраста 23 лет.</w:t>
      </w:r>
    </w:p>
    <w:p w14:paraId="6ABF925F" w14:textId="4DFBB0AF" w:rsidR="00C16B2C" w:rsidRPr="00E00A68" w:rsidRDefault="00C16B2C" w:rsidP="00AD43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hAnsi="Times New Roman" w:cs="Times New Roman"/>
          <w:bCs/>
          <w:sz w:val="28"/>
          <w:szCs w:val="28"/>
          <w:lang w:eastAsia="ru-RU"/>
        </w:rPr>
        <w:t>Следует учитывать, что у 89 399 детей-сирот не наступил срок обеспечения жилыми помещениями в связи с не достижением 18 лет, 1 312 – исполнилось18 лет, но не наступил срок обеспечения жильем.</w:t>
      </w:r>
    </w:p>
    <w:p w14:paraId="53402EFF" w14:textId="078333ED" w:rsidR="00ED643B" w:rsidRPr="00E00A68" w:rsidRDefault="00ED643B" w:rsidP="00AD43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A6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4 поручения Правительства Российской Федерации от 17 декабря 2019 г. № ДМ-П8-87пр предписано ликвидировать </w:t>
      </w:r>
      <w:r w:rsidRPr="00E00A68">
        <w:rPr>
          <w:rFonts w:ascii="Times New Roman" w:hAnsi="Times New Roman" w:cs="Times New Roman"/>
          <w:bCs/>
          <w:sz w:val="28"/>
          <w:szCs w:val="28"/>
        </w:rPr>
        <w:br/>
        <w:t>до 2025 года задолженность по обеспечению жильем детей-сирот.</w:t>
      </w:r>
    </w:p>
    <w:p w14:paraId="3E3D8A3D" w14:textId="6E9F7C9C" w:rsidR="00ED643B" w:rsidRPr="00E00A68" w:rsidRDefault="00ED643B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2020 года объемы субсидии из федерального бюджета для решения жилищной проблемы детей-сирот предоставляются в объеме 10,0 млрд. рублей ежегодно. Соответствующие </w:t>
      </w:r>
      <w:r w:rsidR="00D060CC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финансового обеспечения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предусмотрены на бюджетный цикл 2022-2024 годов.</w:t>
      </w:r>
    </w:p>
    <w:p w14:paraId="3B39631B" w14:textId="72BA4E0F" w:rsidR="00ED643B" w:rsidRPr="00E00A68" w:rsidRDefault="00ED643B" w:rsidP="00AD43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A68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D060CC" w:rsidRPr="00E00A68">
        <w:rPr>
          <w:rFonts w:ascii="Times New Roman" w:hAnsi="Times New Roman" w:cs="Times New Roman"/>
          <w:bCs/>
          <w:sz w:val="28"/>
          <w:szCs w:val="28"/>
        </w:rPr>
        <w:t xml:space="preserve">указанных средств с учетом выделяемых средств региональных бюджетов </w:t>
      </w:r>
      <w:r w:rsidR="008F61E9" w:rsidRPr="00E00A68">
        <w:rPr>
          <w:rFonts w:ascii="Times New Roman" w:hAnsi="Times New Roman" w:cs="Times New Roman"/>
          <w:bCs/>
          <w:sz w:val="28"/>
          <w:szCs w:val="28"/>
        </w:rPr>
        <w:t xml:space="preserve">ежегодные темпы сокращения </w:t>
      </w:r>
      <w:r w:rsidR="00D060CC" w:rsidRPr="00E00A68">
        <w:rPr>
          <w:rFonts w:ascii="Times New Roman" w:hAnsi="Times New Roman" w:cs="Times New Roman"/>
          <w:bCs/>
          <w:sz w:val="28"/>
          <w:szCs w:val="28"/>
        </w:rPr>
        <w:t>очереди</w:t>
      </w:r>
      <w:r w:rsidR="008F61E9" w:rsidRPr="00E00A68">
        <w:rPr>
          <w:rFonts w:ascii="Times New Roman" w:hAnsi="Times New Roman" w:cs="Times New Roman"/>
          <w:bCs/>
          <w:sz w:val="28"/>
          <w:szCs w:val="28"/>
        </w:rPr>
        <w:t xml:space="preserve"> детей-сирот, нуждающихся в жилье, составят от 25,0 до 27,0 тыс. человек.</w:t>
      </w:r>
    </w:p>
    <w:p w14:paraId="5C7D09AD" w14:textId="603F513B" w:rsidR="00CB0972" w:rsidRPr="00E00A68" w:rsidRDefault="00CB0972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Минстрой России, начиная с 2022 года, является главным распорядителем бюджетных средств, выделяемых из федерального бюджета для софинансирования мероприятий по обеспечению жильем детей-сирот.</w:t>
      </w:r>
    </w:p>
    <w:p w14:paraId="781C39B1" w14:textId="0F09757F" w:rsidR="00CB0972" w:rsidRPr="00E00A68" w:rsidRDefault="00CB0972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Соглашения </w:t>
      </w:r>
      <w:r w:rsidR="004C195C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(между Минстроем России и органами государственной власти субъектов Российской Федерации)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выделении в 2022 году из федерального бюджета субсидий бюджетам субъектов Российской Федерации </w:t>
      </w:r>
      <w:r w:rsidR="004C195C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мероприятий по жилищному обеспечению детей-сирот </w:t>
      </w:r>
      <w:r w:rsidR="004C195C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(далее – Соглашения, Мероприятия) заключены в полном объеме и своевременно поставлены на бюджетный учет в федеральном казначействе.</w:t>
      </w:r>
    </w:p>
    <w:p w14:paraId="4E136724" w14:textId="5C28B719" w:rsidR="004C195C" w:rsidRPr="00E00A68" w:rsidRDefault="004C195C" w:rsidP="00AD43C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ВАЖНО:</w:t>
      </w: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</w:t>
      </w:r>
      <w:r w:rsidR="00AD43C0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оглашения впервые включены дополнительные условия финансирования Мероприятий</w:t>
      </w:r>
      <w:r w:rsidR="00816676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обязательное выполнение которых </w:t>
      </w:r>
      <w:r w:rsidR="00816676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необходимо для проведения операций по перечислению из федерального бюджета межбюджетных трансфертов в региональные бюджеты</w:t>
      </w: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B207A09" w14:textId="77777777" w:rsidR="00816676" w:rsidRPr="00E00A68" w:rsidRDefault="004C195C" w:rsidP="00AD43C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</w:t>
      </w:r>
      <w:r w:rsidR="00816676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Обязательная разработка и утверждение до 1 февраля 2022 года региональной государственной программы по обеспечению жильем детей-сирот, которая должна содержать ряд обязательных мероприятий, направленных на повышение эффективности жилищного обеспечения данной категории граждан.</w:t>
      </w:r>
    </w:p>
    <w:p w14:paraId="0DA5FE12" w14:textId="6168F03E" w:rsidR="00F1035E" w:rsidRPr="00E00A68" w:rsidRDefault="00816676" w:rsidP="00AD43C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2.Обязательная разработка </w:t>
      </w:r>
      <w:r w:rsidR="000E1981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 утверждение до 1 февраля 2022 года </w:t>
      </w: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Перечня мероприятий, предусматривающих меры финансового и нефинансового характера, направленных на снижение накопившейся задолженности по обеспечению жильем детей-сирот.</w:t>
      </w:r>
    </w:p>
    <w:p w14:paraId="232FD372" w14:textId="77CF07E7" w:rsidR="004C195C" w:rsidRPr="00E00A68" w:rsidRDefault="00F1035E" w:rsidP="00AD43C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</w:t>
      </w:r>
      <w:r w:rsidR="004C195C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Обязательные контрактация до 1 апреля 2022 года всех средств субсидий, выделяемых их федерального бюджет</w:t>
      </w:r>
      <w:proofErr w:type="gramStart"/>
      <w:r w:rsidR="004C195C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0E1981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 w:rsidR="000E1981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заключение государственных контрактов на приобретение (строительство) жилых помещений для формирования специализированного жилого фонда, который может быть использован для решения жилищной проблемы детей-сирот</w:t>
      </w:r>
      <w:r w:rsidR="004C195C"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E00A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1F45ACC1" w14:textId="77777777" w:rsidR="000E1981" w:rsidRPr="00E00A68" w:rsidRDefault="00CB0972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01.02.2022 по 04.02.2022 Минстроем России совместно с ФКУ «Объединенная дирекция» Минстроя России организованы и проведены</w:t>
      </w:r>
      <w:r w:rsidR="000E1981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совещания в режиме видеоконференцсвязи с уполномоченными органами исполнительной власти всех субъектов Российской Федерации, где реализуются мероприятия по обеспечению жильем детей-сирот. В ходе совещаний:</w:t>
      </w:r>
    </w:p>
    <w:p w14:paraId="6DEE9312" w14:textId="2197C1AA" w:rsidR="007C0407" w:rsidRPr="00E00A68" w:rsidRDefault="000E1981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обсуждались проблемные вопросы жилищного обеспечения данной социально значимой категории граждан;</w:t>
      </w:r>
    </w:p>
    <w:p w14:paraId="55ED5120" w14:textId="5848A27A" w:rsidR="000E1981" w:rsidRPr="00E00A68" w:rsidRDefault="000E1981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анализировался положительный опыт отдельных </w:t>
      </w:r>
      <w:r w:rsidR="00B344B7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регионов России по вопросам жилищного обеспечения детей-сирот;</w:t>
      </w:r>
    </w:p>
    <w:p w14:paraId="758E194E" w14:textId="75D58960" w:rsidR="00B344B7" w:rsidRPr="00E00A68" w:rsidRDefault="00B344B7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обсуждались законодательные инициативы, необходимые для повышения эффективности мероприятий по обеспечению жильем детей-сирот</w:t>
      </w:r>
      <w:r w:rsidR="007042A9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C041739" w14:textId="357AB343" w:rsidR="007042A9" w:rsidRPr="00E00A68" w:rsidRDefault="007042A9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разъяснялись правовые аспекты отдельных моментов заключенных Соглашений</w:t>
      </w:r>
      <w:r w:rsidR="0010689B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F3BD24E" w14:textId="5B2AFDD3" w:rsidR="0010689B" w:rsidRPr="00E00A68" w:rsidRDefault="0010689B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разъяснялись новые нормы законодательства (в частности</w:t>
      </w:r>
      <w:r w:rsidR="00C50746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</w:t>
      </w:r>
      <w:r w:rsidR="005D4F60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30.12.2004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214-ФЗ</w:t>
      </w:r>
      <w:r w:rsidR="005D4F60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которые позволят расширить спектр применения средств, выделяемых для решения жилищной проблемы детей-сирот.</w:t>
      </w:r>
    </w:p>
    <w:p w14:paraId="1C3685BA" w14:textId="3B621A18" w:rsidR="0057215C" w:rsidRPr="00E00A68" w:rsidRDefault="0057215C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проведенных совещаний установлен перечень основных проблемных вопросов, с которыми столкнулись уполномоченные региональные органы исполнительной власти при реализации Мероприятий: </w:t>
      </w:r>
    </w:p>
    <w:p w14:paraId="72B4FB6C" w14:textId="77777777" w:rsidR="0057215C" w:rsidRPr="00E00A68" w:rsidRDefault="0057215C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Недостаточность финансирования. В первую очередь это касается дотационных регионов</w:t>
      </w:r>
      <w:r w:rsidRPr="00E00A6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половина субъектов Российской Федерации), которые выделяют бюджетные ассигнования из бюджета субъекта Российской Федерации на указанные цели только на уровне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софинансирования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выделяемым из федерального бюджета субсидиям.</w:t>
      </w:r>
    </w:p>
    <w:p w14:paraId="241E49AF" w14:textId="1C843D33" w:rsidR="0057215C" w:rsidRPr="00E00A68" w:rsidRDefault="0057215C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размер средней рыночной стоимости 1 кв. метра общей площади жилья, устанавливаемый Минстроем России, который не позволяет приобретать на рынке жилья квартиры необходимого качества с отделкой</w:t>
      </w:r>
      <w:r w:rsidR="005D4F60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результате многие объявляемые конкурсы (аукционы) на приобретение жилых помещений в условиях сложившейся региональной рыночной конъюнктуры признаются не состоявшимися по причине отсутствия заявок об участии)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38FD8455" w14:textId="77777777" w:rsidR="0057215C" w:rsidRPr="00E00A68" w:rsidRDefault="0057215C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Ограничение возможности в приобретении жилых помещений в одном многоквартирном доме (не более 25%).</w:t>
      </w:r>
    </w:p>
    <w:p w14:paraId="70CA8ED6" w14:textId="77777777" w:rsidR="0057215C" w:rsidRPr="00E00A68" w:rsidRDefault="0057215C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Неисполнение застройщиками договорных обязательств.</w:t>
      </w:r>
    </w:p>
    <w:p w14:paraId="25D69F68" w14:textId="77777777" w:rsidR="0057215C" w:rsidRDefault="0057215C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</w:t>
      </w:r>
      <w:proofErr w:type="gramStart"/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Нежелание застройщиков продавать квартиры для предоставления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их детям-сиротам в связи с отнесением их к социально неблагополучным, 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влечет за собой снижение стоимости других квартир в этом жилом доме.</w:t>
      </w:r>
      <w:proofErr w:type="gramEnd"/>
    </w:p>
    <w:p w14:paraId="0949D2D3" w14:textId="77777777" w:rsidR="00170974" w:rsidRPr="00E00A68" w:rsidRDefault="00170974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FB7FE8" w14:textId="6A8DC0D1" w:rsidR="0057215C" w:rsidRPr="00E00A68" w:rsidRDefault="00C50746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проведенных дискуссий Минстроем России</w:t>
      </w:r>
      <w:r w:rsidR="0057215C"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 достаточный информационно-справочный материал, для реализации мероприятий, которые позволят оптимизировать реализуемые Мероприятия, повысить их эффективность, в том числе усовершенствовать правовое поле, регулирующее вопросы жилищного обеспечения детей-сирот.</w:t>
      </w:r>
    </w:p>
    <w:p w14:paraId="5F3F5CD7" w14:textId="3375924F" w:rsidR="00AF09BA" w:rsidRPr="00E00A68" w:rsidRDefault="00AD43C0" w:rsidP="00AD4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нормотворческой работы Минстроем России:</w:t>
      </w:r>
    </w:p>
    <w:p w14:paraId="58E45D15" w14:textId="4DB5F5FD" w:rsidR="00AF09BA" w:rsidRPr="00E00A68" w:rsidRDefault="00AD43C0" w:rsidP="00AD43C0">
      <w:pPr>
        <w:pStyle w:val="a6"/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E00A68">
        <w:rPr>
          <w:rFonts w:eastAsia="Times New Roman"/>
          <w:bCs/>
          <w:sz w:val="28"/>
          <w:szCs w:val="28"/>
        </w:rPr>
        <w:t>1.Р</w:t>
      </w:r>
      <w:r w:rsidR="00AF09BA" w:rsidRPr="00E00A68">
        <w:rPr>
          <w:rFonts w:eastAsia="Times New Roman"/>
          <w:bCs/>
          <w:sz w:val="28"/>
          <w:szCs w:val="28"/>
        </w:rPr>
        <w:t xml:space="preserve">азработан и проходит процедуру согласования законопроект, предусматривающий внесение целого блока изменений </w:t>
      </w:r>
      <w:r w:rsidR="00AF09BA" w:rsidRPr="00E00A68">
        <w:rPr>
          <w:rFonts w:eastAsia="Times New Roman"/>
          <w:bCs/>
          <w:sz w:val="28"/>
          <w:szCs w:val="28"/>
        </w:rPr>
        <w:br/>
      </w:r>
      <w:r w:rsidR="00AF09BA" w:rsidRPr="00E00A68">
        <w:rPr>
          <w:bCs/>
          <w:sz w:val="28"/>
          <w:szCs w:val="28"/>
          <w:lang w:eastAsia="en-US"/>
        </w:rPr>
        <w:t xml:space="preserve">в Федеральный закон «О дополнительных гарантиях по социальной поддержке детей-сироти детей, оставшимся без попечения родителей», </w:t>
      </w:r>
      <w:r w:rsidR="00AF09BA" w:rsidRPr="00E00A68">
        <w:rPr>
          <w:bCs/>
          <w:sz w:val="28"/>
          <w:szCs w:val="28"/>
          <w:lang w:eastAsia="en-US"/>
        </w:rPr>
        <w:br/>
        <w:t>в частности:</w:t>
      </w:r>
      <w:proofErr w:type="gramEnd"/>
    </w:p>
    <w:p w14:paraId="4BD3DF3F" w14:textId="332A313E" w:rsidR="00AF09BA" w:rsidRPr="00E00A68" w:rsidRDefault="00AF09BA" w:rsidP="00AD43C0">
      <w:pPr>
        <w:pStyle w:val="a6"/>
        <w:ind w:firstLine="567"/>
        <w:jc w:val="both"/>
        <w:rPr>
          <w:bCs/>
          <w:sz w:val="28"/>
          <w:szCs w:val="28"/>
          <w:lang w:eastAsia="en-US"/>
        </w:rPr>
      </w:pPr>
      <w:r w:rsidRPr="00E00A68">
        <w:rPr>
          <w:bCs/>
          <w:sz w:val="28"/>
          <w:szCs w:val="28"/>
          <w:lang w:eastAsia="en-US"/>
        </w:rPr>
        <w:t xml:space="preserve">в целях решения жилищной проблемы детей-сирот одновременно с предоставлением жилых помещений специализированного жилого фонда по договорам найма специализированных жилых помещений предусматривается новый механизм выдачи государственных жилищных сертификатов (однократное предоставление детям-сиротам государственных жилищных сертификатов для приобретения за счет </w:t>
      </w:r>
      <w:proofErr w:type="gramStart"/>
      <w:r w:rsidRPr="00E00A68">
        <w:rPr>
          <w:bCs/>
          <w:sz w:val="28"/>
          <w:szCs w:val="28"/>
          <w:lang w:eastAsia="en-US"/>
        </w:rPr>
        <w:t>средств бюджета субъекта Российской Федерации жилых помещений</w:t>
      </w:r>
      <w:proofErr w:type="gramEnd"/>
      <w:r w:rsidRPr="00E00A68">
        <w:rPr>
          <w:bCs/>
          <w:sz w:val="28"/>
          <w:szCs w:val="28"/>
          <w:lang w:eastAsia="en-US"/>
        </w:rPr>
        <w:t xml:space="preserve"> в собственность);</w:t>
      </w:r>
    </w:p>
    <w:p w14:paraId="1A284DF4" w14:textId="2105315F" w:rsidR="00AF09BA" w:rsidRPr="00E00A68" w:rsidRDefault="00AF09BA" w:rsidP="00AD43C0">
      <w:pPr>
        <w:pStyle w:val="a6"/>
        <w:ind w:firstLine="567"/>
        <w:jc w:val="both"/>
        <w:rPr>
          <w:bCs/>
          <w:sz w:val="28"/>
          <w:szCs w:val="28"/>
          <w:lang w:eastAsia="en-US"/>
        </w:rPr>
      </w:pPr>
      <w:r w:rsidRPr="00E00A68">
        <w:rPr>
          <w:bCs/>
          <w:sz w:val="28"/>
          <w:szCs w:val="28"/>
          <w:lang w:eastAsia="en-US"/>
        </w:rPr>
        <w:t>предлагается увеличить общее количество жилых помещений, предоставляемых детям-сиротам и лицам из их числа, в одном многоквартирном доме, до 50 процентов от общего количества квартир в этом многоквартирном доме (в рамках действующего законодательства такой предельный лимит составляет 25%).</w:t>
      </w:r>
    </w:p>
    <w:p w14:paraId="18CC1647" w14:textId="6E15A01E" w:rsidR="00AD43C0" w:rsidRPr="00E00A68" w:rsidRDefault="00AD43C0" w:rsidP="00AD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A68">
        <w:rPr>
          <w:rFonts w:ascii="Times New Roman" w:hAnsi="Times New Roman" w:cs="Times New Roman"/>
          <w:bCs/>
          <w:sz w:val="28"/>
          <w:szCs w:val="28"/>
        </w:rPr>
        <w:t xml:space="preserve">2.Разработан и проходит процедуру согласования проект постановления Правительства Российской Федерации </w:t>
      </w:r>
      <w:bookmarkStart w:id="0" w:name="_Hlk94263737"/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внесении изменений в приложение № 19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Pr="00E00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постановления), который  предусматривает внесение изменений в Правила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распределения субсидий из федерального бюджета бюджетам субъектов Российской Федерации на предоставление жилых помещений детям-сиротам, направленных на</w:t>
      </w:r>
      <w:proofErr w:type="gramEnd"/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повышение:</w:t>
      </w:r>
    </w:p>
    <w:p w14:paraId="687F5292" w14:textId="77777777" w:rsidR="00AD43C0" w:rsidRPr="00E00A68" w:rsidRDefault="00AD43C0" w:rsidP="00AD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предоставления и распределения субсидий, предусмотренных для улучшения жилищных условий детей-сирот;</w:t>
      </w:r>
    </w:p>
    <w:p w14:paraId="778F8E64" w14:textId="77777777" w:rsidR="00AD43C0" w:rsidRPr="00E00A68" w:rsidRDefault="00AD43C0" w:rsidP="00AD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исходных данных, используемых для распределения субсидий, выделяемых для решения жилищной проблемы детей-сирот;</w:t>
      </w:r>
    </w:p>
    <w:p w14:paraId="59568CFC" w14:textId="77777777" w:rsidR="00AD43C0" w:rsidRPr="00E00A68" w:rsidRDefault="00AD43C0" w:rsidP="00AD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системы регионального планирования мероприятий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жилищному обеспечению жильем детей-сирот (в том числе, в условиях выполнения требования о сокращении накопленной задолженности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обеспечении жильем рассматриваемой категории граждан);</w:t>
      </w:r>
    </w:p>
    <w:p w14:paraId="686B86B9" w14:textId="77777777" w:rsidR="00AD43C0" w:rsidRPr="00E00A68" w:rsidRDefault="00AD43C0" w:rsidP="00AD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мотивированности уполномоченных региональных органов исполнительной власти на эффективную реализацию мероприятий </w:t>
      </w: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жильем детей-сирот;</w:t>
      </w:r>
    </w:p>
    <w:p w14:paraId="001C459F" w14:textId="77777777" w:rsidR="00AD43C0" w:rsidRPr="00E00A68" w:rsidRDefault="00AD43C0" w:rsidP="00AD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освоения средств федерального бюджета, выделяемых для софинансирования мероприятий по обеспечению жильем детей-сирот.</w:t>
      </w:r>
    </w:p>
    <w:bookmarkEnd w:id="0"/>
    <w:p w14:paraId="5F43C394" w14:textId="57A79324" w:rsidR="00AD43C0" w:rsidRPr="00E00A68" w:rsidRDefault="00AD43C0" w:rsidP="00AD43C0">
      <w:pPr>
        <w:pStyle w:val="a6"/>
        <w:ind w:firstLine="567"/>
        <w:jc w:val="both"/>
        <w:rPr>
          <w:bCs/>
          <w:sz w:val="28"/>
          <w:szCs w:val="28"/>
          <w:lang w:eastAsia="en-US"/>
        </w:rPr>
      </w:pPr>
    </w:p>
    <w:p w14:paraId="70299D66" w14:textId="653D89FD" w:rsidR="00170974" w:rsidRPr="00170974" w:rsidRDefault="00170974" w:rsidP="0017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текущие вопросы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7884D77" w14:textId="77777777" w:rsidR="00170974" w:rsidRPr="00170974" w:rsidRDefault="00170974" w:rsidP="0017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08801" w14:textId="77777777" w:rsidR="00170974" w:rsidRPr="00170974" w:rsidRDefault="00170974" w:rsidP="0017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распределения субсидий  численность  детей-сирот, состоящих на учете на получение жилого помещения, в возрасте от 18 до 23 лет по состоянию на 1 июля года, предшествующего планируемому, определяется с учетом сведений ЕГИССО о численности указанных лиц, включенных в список, по каждому субъекту. На основании предоставленных сведений в ЕГИССО будет производиться расчет размера субсидии на 2023 и плановый период 2024-2025 годы. Обращаю ваше внимание, что сведения необходимо обновить в ОБЯЗАТЕЛЬНОМ порядке. </w:t>
      </w:r>
    </w:p>
    <w:p w14:paraId="7C3E438F" w14:textId="77777777" w:rsidR="00170974" w:rsidRPr="00170974" w:rsidRDefault="00170974" w:rsidP="0017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практики </w:t>
      </w:r>
      <w:bookmarkStart w:id="1" w:name="_GoBack"/>
      <w:bookmarkEnd w:id="1"/>
      <w:r w:rsidRPr="0017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сведений по предоставлению прогноза кассовых выплат, Дирекцией сделан  вывод, что некоторыми регионами до конца не усвоен порядок предоставления таких сведений. Согласно Директиве Минстроя России от 25 ноября 2021 года № 51524-ЮГ/16 сведения на очередной квартал предоставляются за МЕСЯЦ до квартала. Последующее их корректировка НЕ ДОПУСКАЕТСЯ (т.е. если регион хочет обозначить сумму на 3 квартал года, то при подаче сведений на июнь месяц, субъект обозначает некорректируемую сумму, потребность на 3 квартал).</w:t>
      </w:r>
    </w:p>
    <w:p w14:paraId="7BB2C3CD" w14:textId="77777777" w:rsidR="00170974" w:rsidRPr="00170974" w:rsidRDefault="00170974" w:rsidP="0017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практики проверки сведений, предоставляемых в отчетах в ЭБ, Дирекцией сделан вывод: кассовое исполнение за отчетный период не соответствует кассовым данным Федерального казначейства. </w:t>
      </w:r>
    </w:p>
    <w:p w14:paraId="35CA1894" w14:textId="174349DB" w:rsidR="00AF09BA" w:rsidRPr="00E00A68" w:rsidRDefault="00AF09BA" w:rsidP="00584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2F136F" w14:textId="77777777" w:rsidR="00AF09BA" w:rsidRPr="00E00A68" w:rsidRDefault="00AF09BA" w:rsidP="00584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F66D38" w14:textId="77777777" w:rsidR="007C0407" w:rsidRDefault="007C0407" w:rsidP="00584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EDE0FD" w14:textId="77777777" w:rsidR="007C0407" w:rsidRDefault="007C0407" w:rsidP="00584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6A4B35" w14:textId="77777777" w:rsidR="007C0407" w:rsidRPr="005D4F60" w:rsidRDefault="007C0407" w:rsidP="00584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C0407" w:rsidRPr="005D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F6ED2"/>
    <w:multiLevelType w:val="hybridMultilevel"/>
    <w:tmpl w:val="B5DADABE"/>
    <w:lvl w:ilvl="0" w:tplc="420C35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E8"/>
    <w:rsid w:val="000150BB"/>
    <w:rsid w:val="00027672"/>
    <w:rsid w:val="000A0507"/>
    <w:rsid w:val="000D0233"/>
    <w:rsid w:val="000E1981"/>
    <w:rsid w:val="0010689B"/>
    <w:rsid w:val="00122378"/>
    <w:rsid w:val="00170974"/>
    <w:rsid w:val="001B01FD"/>
    <w:rsid w:val="0022183F"/>
    <w:rsid w:val="00281B54"/>
    <w:rsid w:val="002879FD"/>
    <w:rsid w:val="002B3699"/>
    <w:rsid w:val="003B1F82"/>
    <w:rsid w:val="003B428E"/>
    <w:rsid w:val="003D20B1"/>
    <w:rsid w:val="00453792"/>
    <w:rsid w:val="00476F7C"/>
    <w:rsid w:val="004A74F5"/>
    <w:rsid w:val="004C195C"/>
    <w:rsid w:val="004D476C"/>
    <w:rsid w:val="005633D7"/>
    <w:rsid w:val="0057215C"/>
    <w:rsid w:val="00584DAC"/>
    <w:rsid w:val="005D4F60"/>
    <w:rsid w:val="00671DF2"/>
    <w:rsid w:val="007042A9"/>
    <w:rsid w:val="007364E8"/>
    <w:rsid w:val="00746ED9"/>
    <w:rsid w:val="007B02EF"/>
    <w:rsid w:val="007C0407"/>
    <w:rsid w:val="007C7D19"/>
    <w:rsid w:val="00816676"/>
    <w:rsid w:val="00841D35"/>
    <w:rsid w:val="00870D81"/>
    <w:rsid w:val="008B1538"/>
    <w:rsid w:val="008F61E9"/>
    <w:rsid w:val="00955D1B"/>
    <w:rsid w:val="009842FB"/>
    <w:rsid w:val="00985575"/>
    <w:rsid w:val="009C6508"/>
    <w:rsid w:val="009E552A"/>
    <w:rsid w:val="00AC2D1C"/>
    <w:rsid w:val="00AD43C0"/>
    <w:rsid w:val="00AF09BA"/>
    <w:rsid w:val="00B24390"/>
    <w:rsid w:val="00B344B7"/>
    <w:rsid w:val="00B4686A"/>
    <w:rsid w:val="00C16B2C"/>
    <w:rsid w:val="00C45787"/>
    <w:rsid w:val="00C50746"/>
    <w:rsid w:val="00CB0972"/>
    <w:rsid w:val="00D060CC"/>
    <w:rsid w:val="00D119A2"/>
    <w:rsid w:val="00D267FB"/>
    <w:rsid w:val="00D6505B"/>
    <w:rsid w:val="00D82448"/>
    <w:rsid w:val="00DC1094"/>
    <w:rsid w:val="00E00A68"/>
    <w:rsid w:val="00E3191B"/>
    <w:rsid w:val="00E76ECC"/>
    <w:rsid w:val="00EA312C"/>
    <w:rsid w:val="00ED643B"/>
    <w:rsid w:val="00F1035E"/>
    <w:rsid w:val="00F86659"/>
    <w:rsid w:val="00FA3F64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B54"/>
    <w:pPr>
      <w:keepNext/>
      <w:keepLines/>
      <w:spacing w:before="240" w:after="120" w:line="240" w:lineRule="auto"/>
      <w:ind w:left="425" w:hanging="425"/>
      <w:outlineLvl w:val="0"/>
    </w:pPr>
    <w:rPr>
      <w:rFonts w:ascii="Times New Roman" w:eastAsiaTheme="majorEastAsia" w:hAnsi="Times New Roman" w:cs="Times New Roman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8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87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70D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1B54"/>
    <w:rPr>
      <w:rFonts w:ascii="Times New Roman" w:eastAsiaTheme="majorEastAsia" w:hAnsi="Times New Roman" w:cs="Times New Roman"/>
      <w:b/>
      <w:bCs/>
      <w:sz w:val="26"/>
      <w:szCs w:val="26"/>
      <w:lang w:val="en-US" w:eastAsia="ru-RU"/>
    </w:rPr>
  </w:style>
  <w:style w:type="paragraph" w:styleId="a6">
    <w:name w:val="No Spacing"/>
    <w:basedOn w:val="a"/>
    <w:uiPriority w:val="1"/>
    <w:qFormat/>
    <w:rsid w:val="00C16B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B54"/>
    <w:pPr>
      <w:keepNext/>
      <w:keepLines/>
      <w:spacing w:before="240" w:after="120" w:line="240" w:lineRule="auto"/>
      <w:ind w:left="425" w:hanging="425"/>
      <w:outlineLvl w:val="0"/>
    </w:pPr>
    <w:rPr>
      <w:rFonts w:ascii="Times New Roman" w:eastAsiaTheme="majorEastAsia" w:hAnsi="Times New Roman" w:cs="Times New Roman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8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87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70D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1B54"/>
    <w:rPr>
      <w:rFonts w:ascii="Times New Roman" w:eastAsiaTheme="majorEastAsia" w:hAnsi="Times New Roman" w:cs="Times New Roman"/>
      <w:b/>
      <w:bCs/>
      <w:sz w:val="26"/>
      <w:szCs w:val="26"/>
      <w:lang w:val="en-US" w:eastAsia="ru-RU"/>
    </w:rPr>
  </w:style>
  <w:style w:type="paragraph" w:styleId="a6">
    <w:name w:val="No Spacing"/>
    <w:basedOn w:val="a"/>
    <w:uiPriority w:val="1"/>
    <w:qFormat/>
    <w:rsid w:val="00C16B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офис219 Офис219</dc:creator>
  <cp:lastModifiedBy>Плясунов Владимир Михайлович</cp:lastModifiedBy>
  <cp:revision>3</cp:revision>
  <cp:lastPrinted>2021-11-16T08:22:00Z</cp:lastPrinted>
  <dcterms:created xsi:type="dcterms:W3CDTF">2022-06-15T12:35:00Z</dcterms:created>
  <dcterms:modified xsi:type="dcterms:W3CDTF">2022-06-15T12:37:00Z</dcterms:modified>
</cp:coreProperties>
</file>